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毛中根</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国家自然科学基金重点项目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新时代居民消费发展的驱动机制及政策研究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rFonts w:hint="eastAsia"/>
                <w:sz w:val="24"/>
                <w:szCs w:val="24"/>
              </w:rPr>
              <w:t>72033007</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居民消费发展机制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jc w:val="center"/>
              <w:rPr>
                <w:sz w:val="24"/>
                <w:szCs w:val="24"/>
              </w:rPr>
            </w:pPr>
            <w:r>
              <w:rPr>
                <w:rFonts w:hint="eastAsia"/>
                <w:sz w:val="24"/>
                <w:szCs w:val="24"/>
              </w:rPr>
              <w:t>居民消费指数的指标构建、量化测度，居民消费发展的驱动机制研究，消费相关政策的效果检验与政策模拟等内容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成渝地区双城经济圈建设高品质生活宜居地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rPr>
                <w:sz w:val="24"/>
                <w:szCs w:val="24"/>
              </w:rPr>
            </w:pPr>
          </w:p>
          <w:p>
            <w:pPr>
              <w:rPr>
                <w:sz w:val="24"/>
                <w:szCs w:val="24"/>
              </w:rPr>
            </w:pPr>
            <w:r>
              <w:rPr>
                <w:rFonts w:hint="eastAsia"/>
                <w:sz w:val="24"/>
                <w:szCs w:val="24"/>
              </w:rPr>
              <w:t>有科研的强烈愿望，品学兼优，善于钻研，吃苦耐劳，已学习过宏、微观和计量经济学课程，有较好的文字功底，掌握一定的量化分析方法。</w:t>
            </w: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7"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rPr>
                <w:sz w:val="24"/>
                <w:szCs w:val="24"/>
              </w:rPr>
            </w:pPr>
          </w:p>
          <w:p>
            <w:pPr>
              <w:numPr>
                <w:ilvl w:val="0"/>
                <w:numId w:val="1"/>
              </w:numPr>
              <w:rPr>
                <w:sz w:val="24"/>
                <w:szCs w:val="24"/>
              </w:rPr>
            </w:pPr>
            <w:r>
              <w:rPr>
                <w:rFonts w:hint="eastAsia"/>
                <w:sz w:val="24"/>
                <w:szCs w:val="24"/>
              </w:rPr>
              <w:t>研究内容</w:t>
            </w:r>
          </w:p>
          <w:p>
            <w:pPr>
              <w:numPr>
                <w:ilvl w:val="0"/>
                <w:numId w:val="2"/>
              </w:numPr>
              <w:rPr>
                <w:sz w:val="24"/>
                <w:szCs w:val="24"/>
              </w:rPr>
            </w:pPr>
            <w:r>
              <w:rPr>
                <w:rFonts w:hint="eastAsia"/>
                <w:sz w:val="24"/>
                <w:szCs w:val="24"/>
              </w:rPr>
              <w:t>基于文献整理刻画高品质生活宜居地的科学内涵。从居民满意度、幸福感等主观指标和经济水平、生态环境等客观指标多维度刻画高品质生活宜居地的内涵。</w:t>
            </w:r>
          </w:p>
          <w:p>
            <w:pPr>
              <w:numPr>
                <w:ilvl w:val="0"/>
                <w:numId w:val="2"/>
              </w:numPr>
              <w:rPr>
                <w:sz w:val="24"/>
                <w:szCs w:val="24"/>
              </w:rPr>
            </w:pPr>
            <w:r>
              <w:rPr>
                <w:rFonts w:hint="eastAsia"/>
                <w:sz w:val="24"/>
                <w:szCs w:val="24"/>
              </w:rPr>
              <w:t>分析成渝双城经济圈建设高品质生活宜居地的优势与短板。对比分析成都和重庆两地各自在建设高品质生活宜居地的发展目标、基本条件、不足之处和优势所在，尝试找出两地在建设高品质宜居城市的着力点和交汇点。</w:t>
            </w:r>
          </w:p>
          <w:p>
            <w:pPr>
              <w:numPr>
                <w:ilvl w:val="0"/>
                <w:numId w:val="2"/>
              </w:numPr>
              <w:rPr>
                <w:sz w:val="24"/>
                <w:szCs w:val="24"/>
              </w:rPr>
            </w:pPr>
            <w:r>
              <w:rPr>
                <w:rFonts w:hint="eastAsia"/>
                <w:sz w:val="24"/>
                <w:szCs w:val="24"/>
              </w:rPr>
              <w:t>国际国内经验借鉴。立足本土，从经济总量、人口基数、产业结构、地理环境、基础设施等视角分析京津冀都市圈、粤港澳大湾区、长三角经济圈建设宜居城市的政策路径对成渝双城经济圈建设高品质宜居城市的示范作用。放眼世界，分析东京-横滨、纽约-芝加哥、罗马-米兰等典型双城经济圈在建设宜居城市方面的国际经验。</w:t>
            </w:r>
          </w:p>
          <w:p>
            <w:pPr>
              <w:numPr>
                <w:ilvl w:val="0"/>
                <w:numId w:val="2"/>
              </w:numPr>
              <w:rPr>
                <w:sz w:val="24"/>
                <w:szCs w:val="24"/>
              </w:rPr>
            </w:pPr>
            <w:r>
              <w:rPr>
                <w:rFonts w:hint="eastAsia"/>
                <w:sz w:val="24"/>
                <w:szCs w:val="24"/>
              </w:rPr>
              <w:t>分析推动机制。分析成渝两地如何联动互补、激发潜力共同建设高品质宜居城市的动力机制。</w:t>
            </w:r>
          </w:p>
          <w:p>
            <w:pPr>
              <w:numPr>
                <w:ilvl w:val="0"/>
                <w:numId w:val="2"/>
              </w:numPr>
              <w:rPr>
                <w:sz w:val="24"/>
                <w:szCs w:val="24"/>
              </w:rPr>
            </w:pPr>
            <w:r>
              <w:rPr>
                <w:rFonts w:hint="eastAsia"/>
                <w:sz w:val="24"/>
                <w:szCs w:val="24"/>
              </w:rPr>
              <w:t>分析经济效应。探讨成渝地区双城经济圈建设高品质生活宜居地对地区经济发展、环境保护、民生保障等方面的效用，以及对我国西部经济高质量发展的重大现实意义。</w:t>
            </w:r>
          </w:p>
          <w:p>
            <w:pPr>
              <w:numPr>
                <w:ilvl w:val="0"/>
                <w:numId w:val="2"/>
              </w:numPr>
              <w:rPr>
                <w:sz w:val="24"/>
                <w:szCs w:val="24"/>
              </w:rPr>
            </w:pPr>
            <w:r>
              <w:rPr>
                <w:rFonts w:hint="eastAsia"/>
                <w:sz w:val="24"/>
                <w:szCs w:val="24"/>
              </w:rPr>
              <w:t>提出政策建议。从经济、生态、幸福感、制度等多维度提出系统性政策建议。</w:t>
            </w:r>
          </w:p>
          <w:p>
            <w:pPr>
              <w:numPr>
                <w:ilvl w:val="0"/>
                <w:numId w:val="1"/>
              </w:numPr>
              <w:rPr>
                <w:sz w:val="24"/>
                <w:szCs w:val="24"/>
              </w:rPr>
            </w:pPr>
            <w:r>
              <w:rPr>
                <w:rFonts w:hint="eastAsia"/>
                <w:sz w:val="24"/>
                <w:szCs w:val="24"/>
              </w:rPr>
              <w:t>实施过程</w:t>
            </w:r>
          </w:p>
          <w:p>
            <w:pPr>
              <w:ind w:firstLine="480"/>
              <w:rPr>
                <w:sz w:val="24"/>
                <w:szCs w:val="24"/>
              </w:rPr>
            </w:pPr>
            <w:r>
              <w:rPr>
                <w:rFonts w:hint="eastAsia"/>
                <w:sz w:val="24"/>
                <w:szCs w:val="24"/>
              </w:rPr>
              <w:t>2021年4月，开题。在导师指导下进行可行性分析，并完成文献梳理；</w:t>
            </w:r>
          </w:p>
          <w:p>
            <w:pPr>
              <w:ind w:firstLine="480"/>
              <w:rPr>
                <w:sz w:val="24"/>
                <w:szCs w:val="24"/>
              </w:rPr>
            </w:pPr>
            <w:r>
              <w:rPr>
                <w:rFonts w:hint="eastAsia"/>
                <w:sz w:val="24"/>
                <w:szCs w:val="24"/>
              </w:rPr>
              <w:t>2021年5月-7月，研究阶段。定期接受指导，完成理论分析并提出政策建议；</w:t>
            </w:r>
          </w:p>
          <w:p>
            <w:pPr>
              <w:ind w:firstLine="480"/>
              <w:rPr>
                <w:sz w:val="24"/>
                <w:szCs w:val="24"/>
              </w:rPr>
            </w:pPr>
            <w:r>
              <w:rPr>
                <w:rFonts w:hint="eastAsia"/>
                <w:sz w:val="24"/>
                <w:szCs w:val="24"/>
              </w:rPr>
              <w:t>2021年9月，报告撰写阶段。形成研究报告，并在导师指导下修改完善；</w:t>
            </w:r>
          </w:p>
          <w:p>
            <w:pPr>
              <w:ind w:firstLine="480"/>
              <w:rPr>
                <w:sz w:val="24"/>
                <w:szCs w:val="24"/>
              </w:rPr>
            </w:pPr>
            <w:r>
              <w:rPr>
                <w:rFonts w:hint="eastAsia"/>
                <w:sz w:val="24"/>
                <w:szCs w:val="24"/>
              </w:rPr>
              <w:t>2021年10月，总结阶段。汇报答辩，参评国创项目，并进行项目总结。</w:t>
            </w:r>
          </w:p>
          <w:p>
            <w:pPr>
              <w:ind w:firstLine="480"/>
              <w:rPr>
                <w:sz w:val="24"/>
                <w:szCs w:val="24"/>
              </w:rPr>
            </w:pPr>
          </w:p>
          <w:p>
            <w:pPr>
              <w:numPr>
                <w:ilvl w:val="0"/>
                <w:numId w:val="1"/>
              </w:numPr>
              <w:rPr>
                <w:sz w:val="24"/>
                <w:szCs w:val="24"/>
              </w:rPr>
            </w:pPr>
            <w:r>
              <w:rPr>
                <w:rFonts w:hint="eastAsia"/>
                <w:sz w:val="24"/>
                <w:szCs w:val="24"/>
              </w:rPr>
              <w:t>成效要求</w:t>
            </w:r>
          </w:p>
          <w:p>
            <w:pPr>
              <w:numPr>
                <w:ilvl w:val="0"/>
                <w:numId w:val="3"/>
              </w:numPr>
              <w:rPr>
                <w:sz w:val="24"/>
                <w:szCs w:val="24"/>
              </w:rPr>
            </w:pPr>
            <w:r>
              <w:rPr>
                <w:rFonts w:hint="eastAsia"/>
                <w:sz w:val="24"/>
                <w:szCs w:val="24"/>
              </w:rPr>
              <w:t>学生学术论文写作水平得到显著提升，基本熟练掌握经济学的分析范式，研究成果具备一定的理论和实践意义，相关政策建议能够被采纳或者见刊。</w:t>
            </w:r>
          </w:p>
          <w:p>
            <w:pPr>
              <w:numPr>
                <w:ilvl w:val="0"/>
                <w:numId w:val="3"/>
              </w:numPr>
              <w:rPr>
                <w:rFonts w:hint="eastAsia"/>
                <w:sz w:val="24"/>
                <w:szCs w:val="24"/>
              </w:rPr>
            </w:pPr>
            <w:r>
              <w:rPr>
                <w:rFonts w:hint="eastAsia"/>
                <w:sz w:val="24"/>
                <w:szCs w:val="24"/>
              </w:rPr>
              <w:t>完成1万字以上的研究报告一篇，并基于研究报告形成学术论文一篇。参与国创项目评比获得校级以上奖励，并于核心期刊发表。</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318D4"/>
    <w:multiLevelType w:val="singleLevel"/>
    <w:tmpl w:val="0CD318D4"/>
    <w:lvl w:ilvl="0" w:tentative="0">
      <w:start w:val="1"/>
      <w:numFmt w:val="decimal"/>
      <w:lvlText w:val="%1."/>
      <w:lvlJc w:val="left"/>
      <w:pPr>
        <w:tabs>
          <w:tab w:val="left" w:pos="312"/>
        </w:tabs>
        <w:ind w:left="480" w:firstLine="0"/>
      </w:pPr>
    </w:lvl>
  </w:abstractNum>
  <w:abstractNum w:abstractNumId="1">
    <w:nsid w:val="1BC1AB70"/>
    <w:multiLevelType w:val="singleLevel"/>
    <w:tmpl w:val="1BC1AB70"/>
    <w:lvl w:ilvl="0" w:tentative="0">
      <w:start w:val="1"/>
      <w:numFmt w:val="chineseCounting"/>
      <w:suff w:val="nothing"/>
      <w:lvlText w:val="%1、"/>
      <w:lvlJc w:val="left"/>
      <w:rPr>
        <w:rFonts w:hint="eastAsia"/>
      </w:rPr>
    </w:lvl>
  </w:abstractNum>
  <w:abstractNum w:abstractNumId="2">
    <w:nsid w:val="4243F0C8"/>
    <w:multiLevelType w:val="singleLevel"/>
    <w:tmpl w:val="4243F0C8"/>
    <w:lvl w:ilvl="0" w:tentative="0">
      <w:start w:val="1"/>
      <w:numFmt w:val="chineseCounting"/>
      <w:suff w:val="nothing"/>
      <w:lvlText w:val="第%1，"/>
      <w:lvlJc w:val="left"/>
      <w:pPr>
        <w:ind w:left="48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263CDD"/>
    <w:rsid w:val="004E2C18"/>
    <w:rsid w:val="005E6263"/>
    <w:rsid w:val="00BF0494"/>
    <w:rsid w:val="06825E37"/>
    <w:rsid w:val="0D0C1773"/>
    <w:rsid w:val="0E6B4B00"/>
    <w:rsid w:val="16960943"/>
    <w:rsid w:val="227F0128"/>
    <w:rsid w:val="22903F3A"/>
    <w:rsid w:val="22F3444D"/>
    <w:rsid w:val="290A1E09"/>
    <w:rsid w:val="305B4C5B"/>
    <w:rsid w:val="319262CF"/>
    <w:rsid w:val="3E5B6670"/>
    <w:rsid w:val="415B3E58"/>
    <w:rsid w:val="4B0975DC"/>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2</Pages>
  <Words>177</Words>
  <Characters>1012</Characters>
  <Lines>8</Lines>
  <Paragraphs>2</Paragraphs>
  <TotalTime>20</TotalTime>
  <ScaleCrop>false</ScaleCrop>
  <LinksUpToDate>false</LinksUpToDate>
  <CharactersWithSpaces>1187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jwc-rmy</cp:lastModifiedBy>
  <dcterms:modified xsi:type="dcterms:W3CDTF">2021-04-02T08:19:20Z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AC395D8907964ADF82644A990D367FA6</vt:lpwstr>
  </property>
</Properties>
</file>